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001A2" w14:textId="6C3A439A" w:rsidR="00494557" w:rsidRPr="00494557" w:rsidRDefault="00494557" w:rsidP="009B425C">
      <w:pPr>
        <w:rPr>
          <w:b/>
          <w:bCs/>
          <w:highlight w:val="yellow"/>
        </w:rPr>
      </w:pPr>
      <w:r w:rsidRPr="00494557">
        <w:rPr>
          <w:b/>
          <w:bCs/>
          <w:highlight w:val="yellow"/>
        </w:rPr>
        <w:t>TEMPLATE TO COPY AND MODIFY</w:t>
      </w:r>
    </w:p>
    <w:p w14:paraId="49870324" w14:textId="18DB9AC0" w:rsidR="00494557" w:rsidRDefault="00494557" w:rsidP="009B425C">
      <w:pPr>
        <w:rPr>
          <w:b/>
          <w:bCs/>
        </w:rPr>
      </w:pPr>
      <w:r w:rsidRPr="00494557">
        <w:rPr>
          <w:b/>
          <w:bCs/>
          <w:highlight w:val="yellow"/>
        </w:rPr>
        <w:t>[</w:t>
      </w:r>
      <w:r w:rsidRPr="00494557">
        <w:rPr>
          <w:rStyle w:val="Strong"/>
          <w:highlight w:val="yellow"/>
        </w:rPr>
        <w:t>Instructions:</w:t>
      </w:r>
      <w:r w:rsidRPr="00494557">
        <w:rPr>
          <w:highlight w:val="yellow"/>
        </w:rPr>
        <w:t xml:space="preserve"> If drafting a new technologist position description, tailor the responsibilities below to your organization’s needs. If using an existing position description, use the bullets below as a reference to assess whether the role includes the key responsibilities you’ll need.]</w:t>
      </w:r>
    </w:p>
    <w:p w14:paraId="25457F6E" w14:textId="1B54DD71" w:rsidR="009B425C" w:rsidRPr="009B425C" w:rsidRDefault="009B425C" w:rsidP="009B425C">
      <w:pPr>
        <w:rPr>
          <w:b/>
          <w:bCs/>
        </w:rPr>
      </w:pPr>
      <w:r w:rsidRPr="009B425C">
        <w:rPr>
          <w:b/>
          <w:bCs/>
        </w:rPr>
        <w:t>Position Description: Technologist (Enforcement)</w:t>
      </w:r>
    </w:p>
    <w:p w14:paraId="76365415" w14:textId="77777777" w:rsidR="009B425C" w:rsidRPr="009B425C" w:rsidRDefault="009B425C" w:rsidP="009B425C">
      <w:pPr>
        <w:rPr>
          <w:b/>
          <w:bCs/>
        </w:rPr>
      </w:pPr>
      <w:r w:rsidRPr="009B425C">
        <w:rPr>
          <w:b/>
          <w:bCs/>
        </w:rPr>
        <w:t>Position Summary</w:t>
      </w:r>
    </w:p>
    <w:p w14:paraId="6CF51067" w14:textId="7925017F" w:rsidR="009B425C" w:rsidRPr="009B425C" w:rsidRDefault="009B425C" w:rsidP="009B425C">
      <w:r w:rsidRPr="009B425C">
        <w:t>Technologist</w:t>
      </w:r>
      <w:r w:rsidR="007B48D7">
        <w:t>s</w:t>
      </w:r>
      <w:r w:rsidRPr="009B425C">
        <w:t xml:space="preserve"> will apply technical expertise to support the agency’s investigative functions. Working alongside attorneys, economists, investigators, policy analysts, and other professionals, the Technologist will help the agency understand how modern technologies shape markets, create risks, and impact the public. This role requires strong analytical skills, the ability to translate complex technical concepts for diverse audiences, and a commitment to public service.</w:t>
      </w:r>
    </w:p>
    <w:p w14:paraId="10833C40" w14:textId="77777777" w:rsidR="009B425C" w:rsidRPr="009B425C" w:rsidRDefault="009B425C" w:rsidP="009B425C">
      <w:pPr>
        <w:rPr>
          <w:b/>
          <w:bCs/>
        </w:rPr>
      </w:pPr>
      <w:r w:rsidRPr="009B425C">
        <w:rPr>
          <w:b/>
          <w:bCs/>
        </w:rPr>
        <w:t>Key Responsibilities</w:t>
      </w:r>
    </w:p>
    <w:p w14:paraId="15AB2E68" w14:textId="33C6F4C9" w:rsidR="009B425C" w:rsidRPr="009B425C" w:rsidRDefault="009B425C" w:rsidP="009B425C">
      <w:pPr>
        <w:rPr>
          <w:b/>
          <w:bCs/>
        </w:rPr>
      </w:pPr>
      <w:r w:rsidRPr="009B425C">
        <w:rPr>
          <w:b/>
          <w:bCs/>
        </w:rPr>
        <w:t>Doing the Work</w:t>
      </w:r>
    </w:p>
    <w:p w14:paraId="63200660" w14:textId="3FC3882E" w:rsidR="009B425C" w:rsidRPr="009B425C" w:rsidRDefault="009B425C" w:rsidP="009B425C">
      <w:r w:rsidRPr="009B425C">
        <w:t>Apply technical expertise directly to investigations, research, and program implementation.</w:t>
      </w:r>
    </w:p>
    <w:p w14:paraId="04F14C22" w14:textId="699E7568" w:rsidR="009B425C" w:rsidRPr="0007142A" w:rsidRDefault="009B425C" w:rsidP="007B48D7">
      <w:pPr>
        <w:pStyle w:val="ListParagraph"/>
        <w:numPr>
          <w:ilvl w:val="0"/>
          <w:numId w:val="11"/>
        </w:numPr>
        <w:contextualSpacing w:val="0"/>
        <w:rPr>
          <w:lang w:val="en"/>
        </w:rPr>
      </w:pPr>
      <w:r w:rsidRPr="0007142A">
        <w:rPr>
          <w:lang w:val="en"/>
        </w:rPr>
        <w:t xml:space="preserve">Lead or contribute to cross-functional projects applying technical expertise to support </w:t>
      </w:r>
      <w:r w:rsidR="00494557" w:rsidRPr="009B425C">
        <w:t>investigations, research, and program implementation.</w:t>
      </w:r>
    </w:p>
    <w:p w14:paraId="38026C66" w14:textId="77777777" w:rsidR="009B425C" w:rsidRPr="0007142A" w:rsidRDefault="009B425C" w:rsidP="007B48D7">
      <w:pPr>
        <w:pStyle w:val="ListParagraph"/>
        <w:numPr>
          <w:ilvl w:val="0"/>
          <w:numId w:val="11"/>
        </w:numPr>
        <w:contextualSpacing w:val="0"/>
        <w:rPr>
          <w:lang w:val="en"/>
        </w:rPr>
      </w:pPr>
      <w:r w:rsidRPr="0007142A">
        <w:rPr>
          <w:lang w:val="en"/>
        </w:rPr>
        <w:t>Apply a range of technical approaches, including data science, systems analysis, or human-centered design, to collect and analyze qualitative and quantitative data.</w:t>
      </w:r>
    </w:p>
    <w:p w14:paraId="500559CC" w14:textId="77777777" w:rsidR="009B425C" w:rsidRPr="0007142A" w:rsidRDefault="009B425C" w:rsidP="007B48D7">
      <w:pPr>
        <w:pStyle w:val="ListParagraph"/>
        <w:numPr>
          <w:ilvl w:val="0"/>
          <w:numId w:val="11"/>
        </w:numPr>
        <w:contextualSpacing w:val="0"/>
        <w:rPr>
          <w:lang w:val="en"/>
        </w:rPr>
      </w:pPr>
      <w:r w:rsidRPr="0007142A">
        <w:rPr>
          <w:lang w:val="en"/>
        </w:rPr>
        <w:t>Develop and implement strategies to improve fairness, security, privacy, and equity through technical expertise.</w:t>
      </w:r>
    </w:p>
    <w:p w14:paraId="7852D1A7" w14:textId="38E43779" w:rsidR="009B425C" w:rsidRPr="0007142A" w:rsidRDefault="009B425C" w:rsidP="007B48D7">
      <w:pPr>
        <w:pStyle w:val="ListParagraph"/>
        <w:numPr>
          <w:ilvl w:val="0"/>
          <w:numId w:val="11"/>
        </w:numPr>
        <w:contextualSpacing w:val="0"/>
        <w:rPr>
          <w:lang w:val="en"/>
        </w:rPr>
      </w:pPr>
      <w:r w:rsidRPr="0007142A">
        <w:rPr>
          <w:lang w:val="en"/>
        </w:rPr>
        <w:t xml:space="preserve">Monitor relevant laws, policies, and </w:t>
      </w:r>
      <w:r w:rsidR="00494557">
        <w:rPr>
          <w:lang w:val="en"/>
        </w:rPr>
        <w:t>statute</w:t>
      </w:r>
      <w:r w:rsidRPr="0007142A">
        <w:rPr>
          <w:lang w:val="en"/>
        </w:rPr>
        <w:t>, and advise leadership on their implications.</w:t>
      </w:r>
    </w:p>
    <w:p w14:paraId="1C41FF1D" w14:textId="77777777" w:rsidR="009B425C" w:rsidRPr="0007142A" w:rsidRDefault="009B425C" w:rsidP="007B48D7">
      <w:pPr>
        <w:pStyle w:val="ListParagraph"/>
        <w:numPr>
          <w:ilvl w:val="0"/>
          <w:numId w:val="11"/>
        </w:numPr>
        <w:contextualSpacing w:val="0"/>
        <w:rPr>
          <w:lang w:val="en"/>
        </w:rPr>
      </w:pPr>
      <w:r w:rsidRPr="0007142A">
        <w:rPr>
          <w:lang w:val="en"/>
        </w:rPr>
        <w:t>Define and track key performance metrics to evaluate program or project outcomes and identify opportunities for improvement.</w:t>
      </w:r>
    </w:p>
    <w:p w14:paraId="2AE4B05C" w14:textId="77777777" w:rsidR="009B425C" w:rsidRPr="0007142A" w:rsidRDefault="009B425C" w:rsidP="007B48D7">
      <w:pPr>
        <w:pStyle w:val="ListParagraph"/>
        <w:numPr>
          <w:ilvl w:val="0"/>
          <w:numId w:val="11"/>
        </w:numPr>
        <w:contextualSpacing w:val="0"/>
        <w:rPr>
          <w:lang w:val="en"/>
        </w:rPr>
      </w:pPr>
      <w:r w:rsidRPr="0007142A">
        <w:rPr>
          <w:lang w:val="en"/>
        </w:rPr>
        <w:t>Maintain clear and reproducible documentation of methods, analysis, and findings.</w:t>
      </w:r>
    </w:p>
    <w:p w14:paraId="14E26B4D" w14:textId="72A9A566" w:rsidR="009B425C" w:rsidRPr="009B425C" w:rsidRDefault="009B425C" w:rsidP="009B425C">
      <w:pPr>
        <w:rPr>
          <w:b/>
          <w:bCs/>
        </w:rPr>
      </w:pPr>
      <w:r w:rsidRPr="009B425C">
        <w:rPr>
          <w:b/>
          <w:bCs/>
        </w:rPr>
        <w:t>Understanding the Market</w:t>
      </w:r>
    </w:p>
    <w:p w14:paraId="4D3B2357" w14:textId="77777777" w:rsidR="009B425C" w:rsidRPr="009B425C" w:rsidRDefault="009B425C" w:rsidP="009B425C">
      <w:r w:rsidRPr="009B425C">
        <w:t>Monitor emerging technologies and digital market trends to anticipate risks and opportunities.</w:t>
      </w:r>
    </w:p>
    <w:p w14:paraId="69A50AAB" w14:textId="77777777" w:rsidR="0007142A" w:rsidRPr="0007142A" w:rsidRDefault="0007142A" w:rsidP="007B48D7">
      <w:pPr>
        <w:pStyle w:val="ListParagraph"/>
        <w:numPr>
          <w:ilvl w:val="0"/>
          <w:numId w:val="12"/>
        </w:numPr>
        <w:contextualSpacing w:val="0"/>
        <w:rPr>
          <w:lang w:val="en"/>
        </w:rPr>
      </w:pPr>
      <w:r w:rsidRPr="0007142A">
        <w:rPr>
          <w:lang w:val="en"/>
        </w:rPr>
        <w:lastRenderedPageBreak/>
        <w:t>Track and analyze emerging technologies and shifts in the digital marketplace to identify risks, gaps, and opportunities for the agency’s work.</w:t>
      </w:r>
    </w:p>
    <w:p w14:paraId="7B9742C5" w14:textId="77777777" w:rsidR="0007142A" w:rsidRPr="0007142A" w:rsidRDefault="0007142A" w:rsidP="007B48D7">
      <w:pPr>
        <w:pStyle w:val="ListParagraph"/>
        <w:numPr>
          <w:ilvl w:val="0"/>
          <w:numId w:val="12"/>
        </w:numPr>
        <w:contextualSpacing w:val="0"/>
        <w:rPr>
          <w:lang w:val="en"/>
        </w:rPr>
      </w:pPr>
      <w:r w:rsidRPr="0007142A">
        <w:rPr>
          <w:lang w:val="en"/>
        </w:rPr>
        <w:t>Examine technical, economic, and behavioral data to anticipate how evolving technologies may affect the public.</w:t>
      </w:r>
    </w:p>
    <w:p w14:paraId="74E97B0C" w14:textId="77777777" w:rsidR="0007142A" w:rsidRPr="0007142A" w:rsidRDefault="0007142A" w:rsidP="007B48D7">
      <w:pPr>
        <w:pStyle w:val="ListParagraph"/>
        <w:numPr>
          <w:ilvl w:val="0"/>
          <w:numId w:val="12"/>
        </w:numPr>
        <w:contextualSpacing w:val="0"/>
        <w:rPr>
          <w:lang w:val="en"/>
        </w:rPr>
      </w:pPr>
      <w:r w:rsidRPr="0007142A">
        <w:rPr>
          <w:lang w:val="en"/>
        </w:rPr>
        <w:t>Develop and recommend forward-looking technical strategies based on observed trends and early signals from industry, academia, and civil society to help the agency proactively address harm and adapt to innovation.</w:t>
      </w:r>
    </w:p>
    <w:p w14:paraId="422A34C1" w14:textId="74F24E1C" w:rsidR="009B425C" w:rsidRPr="009B425C" w:rsidRDefault="009B425C" w:rsidP="009B425C">
      <w:pPr>
        <w:rPr>
          <w:b/>
          <w:bCs/>
        </w:rPr>
      </w:pPr>
      <w:r w:rsidRPr="009B425C">
        <w:rPr>
          <w:b/>
          <w:bCs/>
        </w:rPr>
        <w:t>Collaborating Internally</w:t>
      </w:r>
    </w:p>
    <w:p w14:paraId="16F70835" w14:textId="6EA0C225" w:rsidR="009B425C" w:rsidRDefault="009B425C" w:rsidP="009B425C">
      <w:r w:rsidRPr="009B425C">
        <w:t xml:space="preserve">Work across the </w:t>
      </w:r>
      <w:r w:rsidR="0007142A">
        <w:t>organization</w:t>
      </w:r>
      <w:r w:rsidRPr="009B425C">
        <w:t xml:space="preserve"> to embed technical expertise in core mission areas.</w:t>
      </w:r>
    </w:p>
    <w:p w14:paraId="3F558834" w14:textId="35E579FE" w:rsidR="0007142A" w:rsidRPr="0007142A" w:rsidRDefault="0007142A" w:rsidP="007B48D7">
      <w:pPr>
        <w:pStyle w:val="ListParagraph"/>
        <w:numPr>
          <w:ilvl w:val="0"/>
          <w:numId w:val="13"/>
        </w:numPr>
        <w:contextualSpacing w:val="0"/>
        <w:rPr>
          <w:lang w:val="en"/>
        </w:rPr>
      </w:pPr>
      <w:r w:rsidRPr="0007142A">
        <w:rPr>
          <w:lang w:val="en"/>
        </w:rPr>
        <w:t xml:space="preserve">Partner with colleagues across </w:t>
      </w:r>
      <w:r w:rsidR="00494557">
        <w:rPr>
          <w:lang w:val="en"/>
        </w:rPr>
        <w:t>the organization</w:t>
      </w:r>
      <w:r w:rsidRPr="0007142A">
        <w:rPr>
          <w:lang w:val="en"/>
        </w:rPr>
        <w:t xml:space="preserve"> to shape strategic responses to emerging technology issues.</w:t>
      </w:r>
    </w:p>
    <w:p w14:paraId="4F57095B" w14:textId="77777777" w:rsidR="0007142A" w:rsidRPr="0007142A" w:rsidRDefault="0007142A" w:rsidP="007B48D7">
      <w:pPr>
        <w:pStyle w:val="ListParagraph"/>
        <w:numPr>
          <w:ilvl w:val="0"/>
          <w:numId w:val="13"/>
        </w:numPr>
        <w:contextualSpacing w:val="0"/>
        <w:rPr>
          <w:lang w:val="en"/>
        </w:rPr>
      </w:pPr>
      <w:r w:rsidRPr="0007142A">
        <w:rPr>
          <w:lang w:val="en"/>
        </w:rPr>
        <w:t>Support cross-agency initiatives by providing technical analysis or insight.</w:t>
      </w:r>
    </w:p>
    <w:p w14:paraId="590ED96D" w14:textId="77777777" w:rsidR="0007142A" w:rsidRPr="0007142A" w:rsidRDefault="0007142A" w:rsidP="007B48D7">
      <w:pPr>
        <w:pStyle w:val="ListParagraph"/>
        <w:numPr>
          <w:ilvl w:val="0"/>
          <w:numId w:val="13"/>
        </w:numPr>
        <w:contextualSpacing w:val="0"/>
        <w:rPr>
          <w:lang w:val="en"/>
        </w:rPr>
      </w:pPr>
      <w:r w:rsidRPr="0007142A">
        <w:rPr>
          <w:lang w:val="en"/>
        </w:rPr>
        <w:t>Build shared understanding of digital trends and technical strategies across disciplines—bridging gaps with humility and fostering collaborative decision-making.</w:t>
      </w:r>
    </w:p>
    <w:p w14:paraId="29B7FD9F" w14:textId="77777777" w:rsidR="0007142A" w:rsidRPr="0007142A" w:rsidRDefault="0007142A" w:rsidP="007B48D7">
      <w:pPr>
        <w:pStyle w:val="ListParagraph"/>
        <w:numPr>
          <w:ilvl w:val="0"/>
          <w:numId w:val="13"/>
        </w:numPr>
        <w:contextualSpacing w:val="0"/>
        <w:rPr>
          <w:lang w:val="en"/>
        </w:rPr>
      </w:pPr>
      <w:r w:rsidRPr="0007142A">
        <w:rPr>
          <w:lang w:val="en"/>
        </w:rPr>
        <w:t>Translate complex technical concepts into clear, actionable insights for non-technical audiences.</w:t>
      </w:r>
    </w:p>
    <w:p w14:paraId="1CCA4EED" w14:textId="3E4A7782" w:rsidR="0007142A" w:rsidRPr="007B48D7" w:rsidRDefault="0007142A" w:rsidP="007B48D7">
      <w:pPr>
        <w:pStyle w:val="ListParagraph"/>
        <w:numPr>
          <w:ilvl w:val="0"/>
          <w:numId w:val="13"/>
        </w:numPr>
        <w:contextualSpacing w:val="0"/>
        <w:rPr>
          <w:lang w:val="en"/>
        </w:rPr>
      </w:pPr>
      <w:bookmarkStart w:id="0" w:name="_xq1tnm2e6vwf" w:colFirst="0" w:colLast="0"/>
      <w:bookmarkEnd w:id="0"/>
      <w:r w:rsidRPr="0007142A">
        <w:rPr>
          <w:lang w:val="en"/>
        </w:rPr>
        <w:t>Strengthen the technical fluency of colleagues through collaboration, coaching, and shared learning.</w:t>
      </w:r>
    </w:p>
    <w:p w14:paraId="1E02A9CE" w14:textId="37BDD6EC" w:rsidR="009B425C" w:rsidRPr="009B425C" w:rsidRDefault="009B425C" w:rsidP="009B425C">
      <w:pPr>
        <w:rPr>
          <w:b/>
          <w:bCs/>
        </w:rPr>
      </w:pPr>
      <w:r w:rsidRPr="009B425C">
        <w:rPr>
          <w:b/>
          <w:bCs/>
        </w:rPr>
        <w:t>Building External Partnerships</w:t>
      </w:r>
    </w:p>
    <w:p w14:paraId="6739016D" w14:textId="77777777" w:rsidR="009B425C" w:rsidRPr="009B425C" w:rsidRDefault="009B425C" w:rsidP="009B425C">
      <w:r w:rsidRPr="009B425C">
        <w:t>Develop and sustain relationships that strengthen the agency’s technical capacity and impact.</w:t>
      </w:r>
    </w:p>
    <w:p w14:paraId="5E97D928" w14:textId="010985A6" w:rsidR="0007142A" w:rsidRPr="0007142A" w:rsidRDefault="0007142A" w:rsidP="007B48D7">
      <w:pPr>
        <w:pStyle w:val="ListParagraph"/>
        <w:numPr>
          <w:ilvl w:val="0"/>
          <w:numId w:val="15"/>
        </w:numPr>
        <w:contextualSpacing w:val="0"/>
        <w:rPr>
          <w:lang w:val="en"/>
        </w:rPr>
      </w:pPr>
      <w:r w:rsidRPr="0007142A">
        <w:rPr>
          <w:lang w:val="en"/>
        </w:rPr>
        <w:t xml:space="preserve">Build and maintain relationships with technical experts and </w:t>
      </w:r>
      <w:r w:rsidR="00494557">
        <w:rPr>
          <w:lang w:val="en"/>
        </w:rPr>
        <w:t>fellow enforcers</w:t>
      </w:r>
      <w:r w:rsidRPr="0007142A">
        <w:rPr>
          <w:lang w:val="en"/>
        </w:rPr>
        <w:t xml:space="preserve"> across federal, state, local, and international governments.</w:t>
      </w:r>
    </w:p>
    <w:p w14:paraId="0272CC65" w14:textId="77777777" w:rsidR="0007142A" w:rsidRPr="0007142A" w:rsidRDefault="0007142A" w:rsidP="007B48D7">
      <w:pPr>
        <w:pStyle w:val="ListParagraph"/>
        <w:numPr>
          <w:ilvl w:val="0"/>
          <w:numId w:val="15"/>
        </w:numPr>
        <w:contextualSpacing w:val="0"/>
        <w:rPr>
          <w:lang w:val="en"/>
        </w:rPr>
      </w:pPr>
      <w:r w:rsidRPr="0007142A">
        <w:rPr>
          <w:lang w:val="en"/>
        </w:rPr>
        <w:t>Represent the agency in interagency task forces, working groups, and high-profile initiatives related to technology and innovation.</w:t>
      </w:r>
    </w:p>
    <w:p w14:paraId="0917F1A5" w14:textId="77777777" w:rsidR="0007142A" w:rsidRPr="0007142A" w:rsidRDefault="0007142A" w:rsidP="007B48D7">
      <w:pPr>
        <w:pStyle w:val="ListParagraph"/>
        <w:numPr>
          <w:ilvl w:val="0"/>
          <w:numId w:val="15"/>
        </w:numPr>
        <w:contextualSpacing w:val="0"/>
        <w:rPr>
          <w:lang w:val="en"/>
        </w:rPr>
      </w:pPr>
      <w:r w:rsidRPr="0007142A">
        <w:rPr>
          <w:lang w:val="en"/>
        </w:rPr>
        <w:t>Engage with external stakeholders through conferences, meetings, and public forums to strengthen partnerships and stay informed on emerging issues.</w:t>
      </w:r>
    </w:p>
    <w:p w14:paraId="769E0E33" w14:textId="77777777" w:rsidR="0007142A" w:rsidRPr="0007142A" w:rsidRDefault="0007142A" w:rsidP="007B48D7">
      <w:pPr>
        <w:pStyle w:val="ListParagraph"/>
        <w:numPr>
          <w:ilvl w:val="0"/>
          <w:numId w:val="15"/>
        </w:numPr>
        <w:contextualSpacing w:val="0"/>
        <w:rPr>
          <w:lang w:val="en"/>
        </w:rPr>
      </w:pPr>
      <w:r w:rsidRPr="0007142A">
        <w:rPr>
          <w:lang w:val="en"/>
        </w:rPr>
        <w:t>Organize cross-sector coalitions to identify systemic risks, surface emerging harms, and develop collective solutions.</w:t>
      </w:r>
    </w:p>
    <w:p w14:paraId="2893A165" w14:textId="77777777" w:rsidR="0007142A" w:rsidRDefault="0007142A" w:rsidP="007B48D7">
      <w:pPr>
        <w:pStyle w:val="ListParagraph"/>
        <w:numPr>
          <w:ilvl w:val="0"/>
          <w:numId w:val="15"/>
        </w:numPr>
        <w:contextualSpacing w:val="0"/>
        <w:rPr>
          <w:lang w:val="en"/>
        </w:rPr>
      </w:pPr>
      <w:r w:rsidRPr="0007142A">
        <w:rPr>
          <w:lang w:val="en"/>
        </w:rPr>
        <w:lastRenderedPageBreak/>
        <w:t>Respond to external inquiries with technical insight to support policy and investigative initiatives.</w:t>
      </w:r>
    </w:p>
    <w:p w14:paraId="543AE257" w14:textId="625DB022" w:rsidR="007B48D7" w:rsidRPr="007B48D7" w:rsidRDefault="007B48D7" w:rsidP="007B48D7">
      <w:pPr>
        <w:rPr>
          <w:b/>
          <w:bCs/>
          <w:lang w:val="en"/>
        </w:rPr>
      </w:pPr>
      <w:r w:rsidRPr="007B48D7">
        <w:rPr>
          <w:b/>
          <w:bCs/>
          <w:lang w:val="en"/>
        </w:rPr>
        <w:t>Core competencies</w:t>
      </w:r>
    </w:p>
    <w:p w14:paraId="08F761DB" w14:textId="18D1C12C" w:rsidR="007B48D7" w:rsidRPr="007B48D7" w:rsidRDefault="007B48D7" w:rsidP="007B48D7">
      <w:r>
        <w:t>Technologists</w:t>
      </w:r>
      <w:r w:rsidRPr="007B48D7">
        <w:t xml:space="preserve"> should demonstrate the ability to:</w:t>
      </w:r>
    </w:p>
    <w:p w14:paraId="1571D059" w14:textId="66FE9EFC" w:rsidR="007B48D7" w:rsidRPr="007B48D7" w:rsidRDefault="007B48D7" w:rsidP="007B48D7">
      <w:pPr>
        <w:numPr>
          <w:ilvl w:val="0"/>
          <w:numId w:val="16"/>
        </w:numPr>
      </w:pPr>
      <w:r w:rsidRPr="007B48D7">
        <w:t>Apply deep technical expertise to ambiguous, novel, or fast-moving investigative questions.</w:t>
      </w:r>
    </w:p>
    <w:p w14:paraId="4A52AC3D" w14:textId="77777777" w:rsidR="007B48D7" w:rsidRPr="007B48D7" w:rsidRDefault="007B48D7" w:rsidP="007B48D7">
      <w:pPr>
        <w:numPr>
          <w:ilvl w:val="0"/>
          <w:numId w:val="16"/>
        </w:numPr>
      </w:pPr>
      <w:r w:rsidRPr="007B48D7">
        <w:t>Collaborate effectively across disciplines, working respectfully with attorneys, economists, investigators, and policy analysts.</w:t>
      </w:r>
    </w:p>
    <w:p w14:paraId="60A68C0E" w14:textId="77777777" w:rsidR="007B48D7" w:rsidRPr="007B48D7" w:rsidRDefault="007B48D7" w:rsidP="007B48D7">
      <w:pPr>
        <w:numPr>
          <w:ilvl w:val="0"/>
          <w:numId w:val="16"/>
        </w:numPr>
      </w:pPr>
      <w:r w:rsidRPr="007B48D7">
        <w:t>Communicate complex technical concepts clearly for non-technical audiences through writing, presentations, and discussion.</w:t>
      </w:r>
    </w:p>
    <w:p w14:paraId="7057E480" w14:textId="77777777" w:rsidR="007B48D7" w:rsidRPr="007B48D7" w:rsidRDefault="007B48D7" w:rsidP="007B48D7">
      <w:pPr>
        <w:numPr>
          <w:ilvl w:val="0"/>
          <w:numId w:val="16"/>
        </w:numPr>
      </w:pPr>
      <w:r w:rsidRPr="007B48D7">
        <w:t>Use data, research, and user needs to identify problems, analyze risks, and recommend actionable solutions.</w:t>
      </w:r>
    </w:p>
    <w:p w14:paraId="22EF48BD" w14:textId="267E4579" w:rsidR="007B48D7" w:rsidRPr="007B48D7" w:rsidRDefault="007B48D7" w:rsidP="007B48D7">
      <w:pPr>
        <w:numPr>
          <w:ilvl w:val="0"/>
          <w:numId w:val="16"/>
        </w:numPr>
      </w:pPr>
      <w:r w:rsidRPr="007B48D7">
        <w:t>Uphold values of public service, fairness, equity, and protecting the public from technology-enabled harms.</w:t>
      </w:r>
    </w:p>
    <w:p w14:paraId="2822650E" w14:textId="2267BD97" w:rsidR="007B48D7" w:rsidRDefault="007B48D7" w:rsidP="007B48D7">
      <w:pPr>
        <w:rPr>
          <w:b/>
          <w:bCs/>
        </w:rPr>
      </w:pPr>
      <w:r>
        <w:rPr>
          <w:b/>
          <w:bCs/>
        </w:rPr>
        <w:t>Minimum Qualifications</w:t>
      </w:r>
    </w:p>
    <w:p w14:paraId="6BA30307" w14:textId="57108F9F" w:rsidR="007B48D7" w:rsidRPr="007B48D7" w:rsidRDefault="007B48D7" w:rsidP="007B48D7">
      <w:pPr>
        <w:pStyle w:val="ListParagraph"/>
        <w:numPr>
          <w:ilvl w:val="0"/>
          <w:numId w:val="17"/>
        </w:numPr>
        <w:contextualSpacing w:val="0"/>
      </w:pPr>
      <w:r w:rsidRPr="007B48D7">
        <w:t>Experience executing or leading technology projects using skills in software engineering, design, product management, data science, or research.</w:t>
      </w:r>
    </w:p>
    <w:p w14:paraId="67B826BE" w14:textId="59286C73" w:rsidR="007B48D7" w:rsidRPr="007B48D7" w:rsidRDefault="007B48D7" w:rsidP="007B48D7">
      <w:pPr>
        <w:pStyle w:val="ListParagraph"/>
        <w:numPr>
          <w:ilvl w:val="0"/>
          <w:numId w:val="17"/>
        </w:numPr>
        <w:contextualSpacing w:val="0"/>
      </w:pPr>
      <w:r w:rsidRPr="007B48D7">
        <w:t>Experience using data, research, or user insights to identify novel problems and develop solutions.</w:t>
      </w:r>
    </w:p>
    <w:p w14:paraId="7171A2F6" w14:textId="3405AF72" w:rsidR="007B48D7" w:rsidRPr="007B48D7" w:rsidRDefault="007B48D7" w:rsidP="007B48D7">
      <w:pPr>
        <w:pStyle w:val="ListParagraph"/>
        <w:numPr>
          <w:ilvl w:val="0"/>
          <w:numId w:val="17"/>
        </w:numPr>
        <w:contextualSpacing w:val="0"/>
      </w:pPr>
      <w:r w:rsidRPr="007B48D7">
        <w:t>Ability to translate technical concepts for non-technical colleagues and contribute to shared organizational goals.</w:t>
      </w:r>
    </w:p>
    <w:p w14:paraId="23D7C80D" w14:textId="77777777" w:rsidR="007B48D7" w:rsidRPr="007B48D7" w:rsidRDefault="007B48D7" w:rsidP="007B48D7">
      <w:pPr>
        <w:rPr>
          <w:lang w:val="en"/>
        </w:rPr>
      </w:pPr>
    </w:p>
    <w:p w14:paraId="40BE3D98" w14:textId="77777777" w:rsidR="005C2E4A" w:rsidRDefault="005C2E4A"/>
    <w:sectPr w:rsidR="005C2E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5F61E" w14:textId="77777777" w:rsidR="000803C9" w:rsidRDefault="000803C9" w:rsidP="0007142A">
      <w:pPr>
        <w:spacing w:after="0" w:line="240" w:lineRule="auto"/>
      </w:pPr>
      <w:r>
        <w:separator/>
      </w:r>
    </w:p>
  </w:endnote>
  <w:endnote w:type="continuationSeparator" w:id="0">
    <w:p w14:paraId="29FD964E" w14:textId="77777777" w:rsidR="000803C9" w:rsidRDefault="000803C9" w:rsidP="00071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7B390" w14:textId="77777777" w:rsidR="000803C9" w:rsidRDefault="000803C9" w:rsidP="0007142A">
      <w:pPr>
        <w:spacing w:after="0" w:line="240" w:lineRule="auto"/>
      </w:pPr>
      <w:r>
        <w:separator/>
      </w:r>
    </w:p>
  </w:footnote>
  <w:footnote w:type="continuationSeparator" w:id="0">
    <w:p w14:paraId="573CF0D8" w14:textId="77777777" w:rsidR="000803C9" w:rsidRDefault="000803C9" w:rsidP="000714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0A5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7376E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C73A89"/>
    <w:multiLevelType w:val="hybridMultilevel"/>
    <w:tmpl w:val="A850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D5888"/>
    <w:multiLevelType w:val="multilevel"/>
    <w:tmpl w:val="4C222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A9292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F1D15E6"/>
    <w:multiLevelType w:val="hybridMultilevel"/>
    <w:tmpl w:val="984C4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4C5A4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ED93D39"/>
    <w:multiLevelType w:val="multilevel"/>
    <w:tmpl w:val="F3DE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781D3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EA31847"/>
    <w:multiLevelType w:val="multilevel"/>
    <w:tmpl w:val="3676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FA67EF"/>
    <w:multiLevelType w:val="hybridMultilevel"/>
    <w:tmpl w:val="EE24A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DF6505"/>
    <w:multiLevelType w:val="multilevel"/>
    <w:tmpl w:val="91F4B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565BD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19D176C"/>
    <w:multiLevelType w:val="hybridMultilevel"/>
    <w:tmpl w:val="6FBE2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3C2C41"/>
    <w:multiLevelType w:val="multilevel"/>
    <w:tmpl w:val="D64A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667C73"/>
    <w:multiLevelType w:val="hybridMultilevel"/>
    <w:tmpl w:val="3CC4B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083022"/>
    <w:multiLevelType w:val="hybridMultilevel"/>
    <w:tmpl w:val="8A16D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1392774">
    <w:abstractNumId w:val="6"/>
  </w:num>
  <w:num w:numId="2" w16cid:durableId="780808301">
    <w:abstractNumId w:val="0"/>
  </w:num>
  <w:num w:numId="3" w16cid:durableId="1014305648">
    <w:abstractNumId w:val="9"/>
  </w:num>
  <w:num w:numId="4" w16cid:durableId="905453084">
    <w:abstractNumId w:val="11"/>
  </w:num>
  <w:num w:numId="5" w16cid:durableId="1187602518">
    <w:abstractNumId w:val="7"/>
  </w:num>
  <w:num w:numId="6" w16cid:durableId="1673026849">
    <w:abstractNumId w:val="3"/>
  </w:num>
  <w:num w:numId="7" w16cid:durableId="1801459737">
    <w:abstractNumId w:val="8"/>
  </w:num>
  <w:num w:numId="8" w16cid:durableId="1775637213">
    <w:abstractNumId w:val="10"/>
  </w:num>
  <w:num w:numId="9" w16cid:durableId="1917979189">
    <w:abstractNumId w:val="4"/>
  </w:num>
  <w:num w:numId="10" w16cid:durableId="1054741162">
    <w:abstractNumId w:val="1"/>
  </w:num>
  <w:num w:numId="11" w16cid:durableId="154346752">
    <w:abstractNumId w:val="5"/>
  </w:num>
  <w:num w:numId="12" w16cid:durableId="1087311368">
    <w:abstractNumId w:val="15"/>
  </w:num>
  <w:num w:numId="13" w16cid:durableId="1913856154">
    <w:abstractNumId w:val="13"/>
  </w:num>
  <w:num w:numId="14" w16cid:durableId="1892381879">
    <w:abstractNumId w:val="12"/>
  </w:num>
  <w:num w:numId="15" w16cid:durableId="2063556056">
    <w:abstractNumId w:val="16"/>
  </w:num>
  <w:num w:numId="16" w16cid:durableId="2043746049">
    <w:abstractNumId w:val="14"/>
  </w:num>
  <w:num w:numId="17" w16cid:durableId="1099719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25C"/>
    <w:rsid w:val="0007142A"/>
    <w:rsid w:val="000803C9"/>
    <w:rsid w:val="0032354F"/>
    <w:rsid w:val="00427720"/>
    <w:rsid w:val="00494557"/>
    <w:rsid w:val="004B6B1F"/>
    <w:rsid w:val="004B6FCD"/>
    <w:rsid w:val="005C2E4A"/>
    <w:rsid w:val="007B48D7"/>
    <w:rsid w:val="00884F81"/>
    <w:rsid w:val="00914EB4"/>
    <w:rsid w:val="009B425C"/>
    <w:rsid w:val="00C8197A"/>
    <w:rsid w:val="00CD6CC1"/>
    <w:rsid w:val="00D02669"/>
    <w:rsid w:val="00FB2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5DC9"/>
  <w15:chartTrackingRefBased/>
  <w15:docId w15:val="{AE251DF6-2757-1743-A3A4-D59A15B67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42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42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42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42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42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2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2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2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2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2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42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42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42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42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42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2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2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25C"/>
    <w:rPr>
      <w:rFonts w:eastAsiaTheme="majorEastAsia" w:cstheme="majorBidi"/>
      <w:color w:val="272727" w:themeColor="text1" w:themeTint="D8"/>
    </w:rPr>
  </w:style>
  <w:style w:type="paragraph" w:styleId="Title">
    <w:name w:val="Title"/>
    <w:basedOn w:val="Normal"/>
    <w:next w:val="Normal"/>
    <w:link w:val="TitleChar"/>
    <w:uiPriority w:val="10"/>
    <w:qFormat/>
    <w:rsid w:val="009B42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2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2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2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25C"/>
    <w:pPr>
      <w:spacing w:before="160"/>
      <w:jc w:val="center"/>
    </w:pPr>
    <w:rPr>
      <w:i/>
      <w:iCs/>
      <w:color w:val="404040" w:themeColor="text1" w:themeTint="BF"/>
    </w:rPr>
  </w:style>
  <w:style w:type="character" w:customStyle="1" w:styleId="QuoteChar">
    <w:name w:val="Quote Char"/>
    <w:basedOn w:val="DefaultParagraphFont"/>
    <w:link w:val="Quote"/>
    <w:uiPriority w:val="29"/>
    <w:rsid w:val="009B425C"/>
    <w:rPr>
      <w:i/>
      <w:iCs/>
      <w:color w:val="404040" w:themeColor="text1" w:themeTint="BF"/>
    </w:rPr>
  </w:style>
  <w:style w:type="paragraph" w:styleId="ListParagraph">
    <w:name w:val="List Paragraph"/>
    <w:basedOn w:val="Normal"/>
    <w:uiPriority w:val="34"/>
    <w:qFormat/>
    <w:rsid w:val="009B425C"/>
    <w:pPr>
      <w:ind w:left="720"/>
      <w:contextualSpacing/>
    </w:pPr>
  </w:style>
  <w:style w:type="character" w:styleId="IntenseEmphasis">
    <w:name w:val="Intense Emphasis"/>
    <w:basedOn w:val="DefaultParagraphFont"/>
    <w:uiPriority w:val="21"/>
    <w:qFormat/>
    <w:rsid w:val="009B425C"/>
    <w:rPr>
      <w:i/>
      <w:iCs/>
      <w:color w:val="0F4761" w:themeColor="accent1" w:themeShade="BF"/>
    </w:rPr>
  </w:style>
  <w:style w:type="paragraph" w:styleId="IntenseQuote">
    <w:name w:val="Intense Quote"/>
    <w:basedOn w:val="Normal"/>
    <w:next w:val="Normal"/>
    <w:link w:val="IntenseQuoteChar"/>
    <w:uiPriority w:val="30"/>
    <w:qFormat/>
    <w:rsid w:val="009B42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25C"/>
    <w:rPr>
      <w:i/>
      <w:iCs/>
      <w:color w:val="0F4761" w:themeColor="accent1" w:themeShade="BF"/>
    </w:rPr>
  </w:style>
  <w:style w:type="character" w:styleId="IntenseReference">
    <w:name w:val="Intense Reference"/>
    <w:basedOn w:val="DefaultParagraphFont"/>
    <w:uiPriority w:val="32"/>
    <w:qFormat/>
    <w:rsid w:val="009B425C"/>
    <w:rPr>
      <w:b/>
      <w:bCs/>
      <w:smallCaps/>
      <w:color w:val="0F4761" w:themeColor="accent1" w:themeShade="BF"/>
      <w:spacing w:val="5"/>
    </w:rPr>
  </w:style>
  <w:style w:type="paragraph" w:styleId="Header">
    <w:name w:val="header"/>
    <w:basedOn w:val="Normal"/>
    <w:link w:val="HeaderChar"/>
    <w:uiPriority w:val="99"/>
    <w:unhideWhenUsed/>
    <w:rsid w:val="000714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42A"/>
  </w:style>
  <w:style w:type="paragraph" w:styleId="Footer">
    <w:name w:val="footer"/>
    <w:basedOn w:val="Normal"/>
    <w:link w:val="FooterChar"/>
    <w:uiPriority w:val="99"/>
    <w:unhideWhenUsed/>
    <w:rsid w:val="000714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42A"/>
  </w:style>
  <w:style w:type="character" w:styleId="Strong">
    <w:name w:val="Strong"/>
    <w:basedOn w:val="DefaultParagraphFont"/>
    <w:uiPriority w:val="22"/>
    <w:qFormat/>
    <w:rsid w:val="004945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672</Words>
  <Characters>4047</Characters>
  <Application>Microsoft Office Word</Application>
  <DocSecurity>0</DocSecurity>
  <Lines>84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Bond</dc:creator>
  <cp:keywords/>
  <dc:description/>
  <cp:lastModifiedBy>Bond, Elizabeth L</cp:lastModifiedBy>
  <cp:revision>2</cp:revision>
  <dcterms:created xsi:type="dcterms:W3CDTF">2026-01-16T01:15:00Z</dcterms:created>
  <dcterms:modified xsi:type="dcterms:W3CDTF">2026-01-16T01:15:00Z</dcterms:modified>
</cp:coreProperties>
</file>